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charts/_rels/chart1.xml.rels" ContentType="application/vnd.openxmlformats-package.relationship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/>
        <w:t xml:space="preserve">Информация </w:t>
      </w:r>
    </w:p>
    <w:p>
      <w:pPr>
        <w:pStyle w:val="Normal"/>
        <w:jc w:val="center"/>
        <w:rPr/>
      </w:pPr>
      <w:r>
        <w:rPr/>
        <w:t xml:space="preserve">о  работе с обращениями граждан в администрации муниципального </w:t>
      </w:r>
    </w:p>
    <w:p>
      <w:pPr>
        <w:pStyle w:val="Normal"/>
        <w:jc w:val="center"/>
        <w:rPr/>
      </w:pPr>
      <w:r>
        <w:rPr/>
        <w:t xml:space="preserve">образования Северский муниципальный  </w:t>
      </w:r>
    </w:p>
    <w:p>
      <w:pPr>
        <w:pStyle w:val="Normal"/>
        <w:jc w:val="center"/>
        <w:rPr/>
      </w:pPr>
      <w:r>
        <w:rPr/>
        <w:t>район в 1 полугодии 2026 года</w:t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Spacing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Администрацией муниципального образования Северский муниципальный район  (далее – администрация района) работа с обращениями и запросами граждан ведется в соответствии с действующим федеральным и краевым законодательством. </w:t>
      </w:r>
    </w:p>
    <w:p>
      <w:pPr>
        <w:pStyle w:val="NoSpacing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1 полугодии 2026 года в администрацию района поступило  1254 письменных обращения от граждан. Из них 499 человек  направили свои обращения  через информационную систему портал обратной связи  «Госуслуги» (ИС ПОС),   242 - посредством  виртуальной (электронной приемной граждан). </w:t>
      </w:r>
    </w:p>
    <w:p>
      <w:pPr>
        <w:pStyle w:val="NoSpacing"/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Число письменных обращений</w:t>
      </w:r>
      <w:r>
        <w:rPr>
          <w:sz w:val="28"/>
          <w:szCs w:val="28"/>
        </w:rPr>
        <w:t xml:space="preserve"> в сравнении с аналогичным периодом 2025 года у</w:t>
      </w:r>
      <w:r>
        <w:rPr>
          <w:b/>
          <w:bCs/>
          <w:sz w:val="28"/>
          <w:szCs w:val="28"/>
        </w:rPr>
        <w:t xml:space="preserve">величилось   на 129 обращений или на 10% </w:t>
      </w:r>
      <w:r>
        <w:rPr>
          <w:sz w:val="28"/>
          <w:szCs w:val="28"/>
        </w:rPr>
        <w:t xml:space="preserve">(в 1 полугодии 2025  года поступило 1125 обращений).  </w:t>
      </w:r>
    </w:p>
    <w:p>
      <w:pPr>
        <w:pStyle w:val="Normal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Из Администрации Краснодарского края поступило 175 обращений (или 14 %), из них через Администрацию Президента Российской  Федерации – 88  обращений (или 7%). В 1 полугодии 2025 года 275  (24%)  и 115 (10%) соответственно.</w:t>
      </w:r>
    </w:p>
    <w:p>
      <w:pPr>
        <w:pStyle w:val="Normal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Комиссионно с выездом на место рассмотрено 18 %.</w:t>
      </w:r>
    </w:p>
    <w:p>
      <w:pPr>
        <w:pStyle w:val="NoSpacing"/>
        <w:ind w:firstLine="708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Основные вопросы, поднимаемые жителями:</w:t>
      </w:r>
    </w:p>
    <w:p>
      <w:pPr>
        <w:pStyle w:val="NoSpacing"/>
        <w:ind w:firstLine="708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вопросы коммунального хозяйства – 32 %;</w:t>
      </w:r>
    </w:p>
    <w:p>
      <w:pPr>
        <w:pStyle w:val="NoSpacing"/>
        <w:ind w:firstLine="708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земельные вопросы 21 %</w:t>
      </w:r>
    </w:p>
    <w:p>
      <w:pPr>
        <w:pStyle w:val="NoSpacing"/>
        <w:ind w:firstLine="708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вопросы социального обеспечения - 12%;</w:t>
      </w:r>
    </w:p>
    <w:p>
      <w:pPr>
        <w:pStyle w:val="NoSpacing"/>
        <w:ind w:firstLine="708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вопросы строительства и архитектуры-  11  %</w:t>
      </w:r>
    </w:p>
    <w:p>
      <w:pPr>
        <w:pStyle w:val="NoSpacing"/>
        <w:ind w:firstLine="708"/>
        <w:jc w:val="both"/>
        <w:rPr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вопросы транспорта и дорожного хозяйства – 9 %;</w:t>
      </w:r>
    </w:p>
    <w:p>
      <w:pPr>
        <w:pStyle w:val="NoSpacing"/>
        <w:ind w:firstLine="708"/>
        <w:jc w:val="both"/>
        <w:rPr>
          <w:b w:val="false"/>
          <w:bCs w:val="false"/>
        </w:rPr>
      </w:pPr>
      <w:r>
        <w:rPr>
          <w:b w:val="false"/>
          <w:bCs w:val="false"/>
          <w:color w:val="000000"/>
          <w:sz w:val="28"/>
          <w:szCs w:val="28"/>
        </w:rPr>
        <w:t>жилищные вопросы – 6%</w:t>
      </w:r>
    </w:p>
    <w:p>
      <w:pPr>
        <w:pStyle w:val="NoSpacing"/>
        <w:ind w:firstLine="708"/>
        <w:jc w:val="both"/>
        <w:rPr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вопросы образования и науки, экономики, малого и среднего бизнеса, экологии и природопользования,  здравоохранения и др. составили менее 6% .</w:t>
      </w:r>
    </w:p>
    <w:p>
      <w:pPr>
        <w:pStyle w:val="NoSpacing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центр обработки сообщений  администрации Краснодарского края  от жителей Северского района  поступило 35 сообщений  За аналогичный период прошлого года — 42.</w:t>
      </w:r>
    </w:p>
    <w:p>
      <w:pPr>
        <w:pStyle w:val="Normal"/>
        <w:ind w:firstLine="708"/>
        <w:jc w:val="both"/>
        <w:rPr>
          <w:iCs/>
          <w:szCs w:val="28"/>
        </w:rPr>
      </w:pPr>
      <w:r>
        <w:rPr>
          <w:b/>
          <w:bCs/>
          <w:color w:val="000000"/>
          <w:szCs w:val="28"/>
        </w:rPr>
        <w:t>Увеличилось число сообщений</w:t>
      </w:r>
      <w:r>
        <w:rPr>
          <w:color w:val="000000"/>
          <w:szCs w:val="28"/>
        </w:rPr>
        <w:t xml:space="preserve">,   </w:t>
      </w:r>
      <w:r>
        <w:rPr>
          <w:b/>
          <w:bCs/>
          <w:iCs/>
          <w:szCs w:val="28"/>
        </w:rPr>
        <w:t xml:space="preserve">поступивших по телефону  «горячей линии» администрации района. </w:t>
      </w:r>
      <w:r>
        <w:rPr>
          <w:iCs/>
          <w:szCs w:val="28"/>
        </w:rPr>
        <w:t>За истекший период 2026 года поступило 223 сообщения,  за аналогичный период прошлого года 170 (рост сообщений по телефону обусловлен  проведением Прямой линии главы района в феврале 2026 года).</w:t>
      </w:r>
    </w:p>
    <w:p>
      <w:pPr>
        <w:pStyle w:val="Normal"/>
        <w:ind w:firstLine="708"/>
        <w:jc w:val="both"/>
        <w:rPr>
          <w:b w:val="false"/>
          <w:bCs w:val="false"/>
          <w:iCs/>
          <w:color w:val="000000"/>
          <w:szCs w:val="28"/>
        </w:rPr>
      </w:pPr>
      <w:r>
        <w:rPr>
          <w:rFonts w:cs="Times New Roman"/>
          <w:b w:val="false"/>
          <w:bCs w:val="false"/>
          <w:iCs/>
          <w:color w:val="000000"/>
          <w:sz w:val="28"/>
          <w:szCs w:val="28"/>
        </w:rPr>
        <w:t xml:space="preserve">В феврале 2026 года организована и проведена  Прямая линия  главы муниципального образования Северский район Алексея Юрьевича Чеверева. В рамках подготовки и проведения   Прямой линии,  которая состоялась                 19 февраля 2026 г., поступило 178 сообщений от жителей Северского района, которые содержали  228 вопросов, из них на платформу обратной связи </w:t>
      </w:r>
    </w:p>
    <w:p>
      <w:pPr>
        <w:pStyle w:val="Normal"/>
        <w:ind w:hanging="0"/>
        <w:jc w:val="center"/>
        <w:rPr>
          <w:rFonts w:cs="Times New Roman"/>
          <w:b w:val="false"/>
          <w:bCs w:val="false"/>
          <w:iCs/>
          <w:color w:val="000000"/>
          <w:sz w:val="28"/>
          <w:szCs w:val="28"/>
        </w:rPr>
      </w:pPr>
      <w:r>
        <w:rPr>
          <w:rFonts w:cs="Times New Roman"/>
          <w:b w:val="false"/>
          <w:bCs w:val="false"/>
          <w:iCs/>
          <w:color w:val="000000"/>
          <w:sz w:val="28"/>
          <w:szCs w:val="28"/>
        </w:rPr>
        <w:t>2</w:t>
      </w:r>
    </w:p>
    <w:p>
      <w:pPr>
        <w:pStyle w:val="Normal"/>
        <w:ind w:hanging="0"/>
        <w:jc w:val="both"/>
        <w:rPr>
          <w:b w:val="false"/>
          <w:bCs w:val="false"/>
          <w:iCs/>
          <w:color w:val="000000"/>
          <w:szCs w:val="28"/>
        </w:rPr>
      </w:pPr>
      <w:r>
        <w:rPr>
          <w:rFonts w:cs="Times New Roman"/>
          <w:b w:val="false"/>
          <w:bCs w:val="false"/>
          <w:iCs/>
          <w:color w:val="000000"/>
          <w:sz w:val="28"/>
          <w:szCs w:val="28"/>
        </w:rPr>
        <w:t>«Госуслуги. Решаем вместе» (далее – ИС ПОС) поступило  51 сообщение и 127 по телефону.  В прямом эфире Алексей Юрьевич ответил на 11 из них.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/>
          <w:b w:val="false"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В 2026 году  в ходе подготовки Прямой линии зафиксирован значительный рост гражданской активности — количество сообщений увеличилось более чем в</w:t>
      </w:r>
      <w:r>
        <w:rPr>
          <w:rFonts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</w:t>
      </w:r>
      <w:r>
        <w:rPr>
          <w:rStyle w:val="Strong"/>
          <w:rFonts w:cs="Times New Roman"/>
          <w:b w:val="false"/>
          <w:bCs w:val="false"/>
          <w:color w:val="000000"/>
          <w:sz w:val="28"/>
          <w:szCs w:val="28"/>
        </w:rPr>
        <w:t>2,5 раза</w:t>
      </w:r>
      <w:r>
        <w:rPr>
          <w:rStyle w:val="Strong"/>
          <w:rFonts w:cs="Times New Roman"/>
          <w:b w:val="false"/>
          <w:bCs w:val="false"/>
          <w:caps w:val="false"/>
          <w:smallCaps w:val="false"/>
          <w:color w:val="000000"/>
          <w:spacing w:val="0"/>
          <w:sz w:val="28"/>
          <w:szCs w:val="28"/>
        </w:rPr>
        <w:t xml:space="preserve"> </w:t>
      </w:r>
      <w:r>
        <w:rPr>
          <w:rFonts w:cs="Times New Roman"/>
          <w:b w:val="false"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по сравнению с прошлым годом.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</w:r>
    </w:p>
    <w:tbl>
      <w:tblPr>
        <w:tblW w:w="9644" w:type="dxa"/>
        <w:jc w:val="left"/>
        <w:tblInd w:w="-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414"/>
        <w:gridCol w:w="3168"/>
        <w:gridCol w:w="3062"/>
      </w:tblGrid>
      <w:tr>
        <w:trPr>
          <w:trHeight w:val="395" w:hRule="atLeast"/>
        </w:trPr>
        <w:tc>
          <w:tcPr>
            <w:tcW w:w="3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27"/>
              <w:spacing w:before="0" w:after="160"/>
              <w:ind w:hanging="0" w:left="0" w:right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Показатель</w:t>
            </w:r>
          </w:p>
        </w:tc>
        <w:tc>
          <w:tcPr>
            <w:tcW w:w="316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27"/>
              <w:spacing w:before="0" w:after="160"/>
              <w:ind w:hanging="0" w:left="0" w:right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Значение (2026)</w:t>
            </w:r>
          </w:p>
        </w:tc>
        <w:tc>
          <w:tcPr>
            <w:tcW w:w="306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27"/>
              <w:spacing w:before="0" w:after="160"/>
              <w:ind w:hanging="0" w:left="0" w:right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Сравнение с 2025</w:t>
            </w:r>
          </w:p>
        </w:tc>
      </w:tr>
      <w:tr>
        <w:trPr>
          <w:trHeight w:val="493" w:hRule="atLeast"/>
        </w:trPr>
        <w:tc>
          <w:tcPr>
            <w:tcW w:w="341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27"/>
              <w:spacing w:before="0" w:after="160"/>
              <w:ind w:hanging="0" w:left="0" w:right="0"/>
              <w:jc w:val="center"/>
              <w:rPr/>
            </w:pPr>
            <w:r>
              <w:rPr>
                <w:rStyle w:val="Strong"/>
                <w:sz w:val="24"/>
                <w:szCs w:val="24"/>
              </w:rPr>
              <w:t>Всего сообщений</w:t>
            </w:r>
          </w:p>
        </w:tc>
        <w:tc>
          <w:tcPr>
            <w:tcW w:w="3168" w:type="dxa"/>
            <w:tcBorders>
              <w:bottom w:val="single" w:sz="2" w:space="0" w:color="000000"/>
            </w:tcBorders>
            <w:vAlign w:val="center"/>
          </w:tcPr>
          <w:p>
            <w:pPr>
              <w:pStyle w:val="Style27"/>
              <w:spacing w:before="0" w:after="160"/>
              <w:ind w:hanging="0"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</w:t>
            </w:r>
          </w:p>
        </w:tc>
        <w:tc>
          <w:tcPr>
            <w:tcW w:w="3062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27"/>
              <w:spacing w:before="0" w:after="160"/>
              <w:ind w:hanging="0"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📈 </w:t>
            </w:r>
            <w:r>
              <w:rPr>
                <w:sz w:val="24"/>
                <w:szCs w:val="24"/>
              </w:rPr>
              <w:t>+158% (было 69)</w:t>
            </w:r>
          </w:p>
        </w:tc>
      </w:tr>
      <w:tr>
        <w:trPr>
          <w:trHeight w:val="401" w:hRule="atLeast"/>
        </w:trPr>
        <w:tc>
          <w:tcPr>
            <w:tcW w:w="341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27"/>
              <w:spacing w:before="0" w:after="160"/>
              <w:ind w:hanging="0" w:left="0" w:right="0"/>
              <w:jc w:val="center"/>
              <w:rPr/>
            </w:pPr>
            <w:r>
              <w:rPr>
                <w:rStyle w:val="Strong"/>
                <w:sz w:val="24"/>
                <w:szCs w:val="24"/>
              </w:rPr>
              <w:t>Всего вопросов</w:t>
            </w:r>
          </w:p>
        </w:tc>
        <w:tc>
          <w:tcPr>
            <w:tcW w:w="3168" w:type="dxa"/>
            <w:tcBorders>
              <w:bottom w:val="single" w:sz="2" w:space="0" w:color="000000"/>
            </w:tcBorders>
            <w:vAlign w:val="center"/>
          </w:tcPr>
          <w:p>
            <w:pPr>
              <w:pStyle w:val="Style27"/>
              <w:spacing w:before="0" w:after="160"/>
              <w:ind w:hanging="0"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</w:tc>
        <w:tc>
          <w:tcPr>
            <w:tcW w:w="3062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27"/>
              <w:spacing w:before="0" w:after="160"/>
              <w:ind w:hanging="0" w:left="0" w:right="0"/>
              <w:jc w:val="center"/>
              <w:rPr/>
            </w:pPr>
            <w:r>
              <w:rPr>
                <w:rStyle w:val="Strong"/>
                <w:sz w:val="24"/>
                <w:szCs w:val="24"/>
              </w:rPr>
              <w:t>-</w:t>
            </w:r>
          </w:p>
        </w:tc>
      </w:tr>
      <w:tr>
        <w:trPr>
          <w:trHeight w:val="688" w:hRule="atLeast"/>
        </w:trPr>
        <w:tc>
          <w:tcPr>
            <w:tcW w:w="341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27"/>
              <w:spacing w:before="0" w:after="160"/>
              <w:ind w:hanging="0" w:left="0" w:right="0"/>
              <w:jc w:val="center"/>
              <w:rPr/>
            </w:pPr>
            <w:r>
              <w:rPr>
                <w:rStyle w:val="Strong"/>
                <w:sz w:val="24"/>
                <w:szCs w:val="24"/>
              </w:rPr>
              <w:t>Через Госуслуги (ПОС)</w:t>
            </w:r>
          </w:p>
        </w:tc>
        <w:tc>
          <w:tcPr>
            <w:tcW w:w="3168" w:type="dxa"/>
            <w:tcBorders>
              <w:bottom w:val="single" w:sz="2" w:space="0" w:color="000000"/>
            </w:tcBorders>
            <w:vAlign w:val="center"/>
          </w:tcPr>
          <w:p>
            <w:pPr>
              <w:pStyle w:val="Style27"/>
              <w:spacing w:before="0" w:after="160"/>
              <w:ind w:hanging="0"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3062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27"/>
              <w:spacing w:before="0" w:after="160"/>
              <w:ind w:hanging="0"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📈 </w:t>
            </w:r>
            <w:r>
              <w:rPr>
                <w:sz w:val="24"/>
                <w:szCs w:val="24"/>
              </w:rPr>
              <w:t>+292% (было 13)</w:t>
            </w:r>
          </w:p>
        </w:tc>
      </w:tr>
      <w:tr>
        <w:trPr/>
        <w:tc>
          <w:tcPr>
            <w:tcW w:w="341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27"/>
              <w:spacing w:before="0" w:after="160"/>
              <w:ind w:hanging="0" w:left="0" w:right="0"/>
              <w:jc w:val="center"/>
              <w:rPr/>
            </w:pPr>
            <w:r>
              <w:rPr>
                <w:rStyle w:val="Strong"/>
                <w:sz w:val="24"/>
                <w:szCs w:val="24"/>
              </w:rPr>
              <w:t>По телефону</w:t>
            </w:r>
          </w:p>
        </w:tc>
        <w:tc>
          <w:tcPr>
            <w:tcW w:w="3168" w:type="dxa"/>
            <w:tcBorders>
              <w:bottom w:val="single" w:sz="2" w:space="0" w:color="000000"/>
            </w:tcBorders>
            <w:vAlign w:val="center"/>
          </w:tcPr>
          <w:p>
            <w:pPr>
              <w:pStyle w:val="Style27"/>
              <w:spacing w:before="0" w:after="160"/>
              <w:ind w:hanging="0"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</w:t>
            </w:r>
          </w:p>
        </w:tc>
        <w:tc>
          <w:tcPr>
            <w:tcW w:w="3062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27"/>
              <w:spacing w:before="0" w:after="160"/>
              <w:ind w:hanging="0"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📈 </w:t>
            </w:r>
            <w:r>
              <w:rPr>
                <w:sz w:val="24"/>
                <w:szCs w:val="24"/>
              </w:rPr>
              <w:t>+126% (было 56)</w:t>
            </w:r>
          </w:p>
        </w:tc>
      </w:tr>
      <w:tr>
        <w:trPr>
          <w:trHeight w:val="477" w:hRule="atLeast"/>
        </w:trPr>
        <w:tc>
          <w:tcPr>
            <w:tcW w:w="341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27"/>
              <w:spacing w:before="0" w:after="160"/>
              <w:ind w:hanging="0" w:left="0" w:right="0"/>
              <w:jc w:val="center"/>
              <w:rPr/>
            </w:pPr>
            <w:r>
              <w:rPr>
                <w:rStyle w:val="Strong"/>
                <w:sz w:val="24"/>
                <w:szCs w:val="24"/>
              </w:rPr>
              <w:t>Разобрано в эфире</w:t>
            </w:r>
          </w:p>
        </w:tc>
        <w:tc>
          <w:tcPr>
            <w:tcW w:w="3168" w:type="dxa"/>
            <w:tcBorders>
              <w:bottom w:val="single" w:sz="2" w:space="0" w:color="000000"/>
            </w:tcBorders>
            <w:vAlign w:val="center"/>
          </w:tcPr>
          <w:p>
            <w:pPr>
              <w:pStyle w:val="Style27"/>
              <w:spacing w:before="0" w:after="160"/>
              <w:ind w:hanging="0"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062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27"/>
              <w:spacing w:before="0" w:after="160"/>
              <w:ind w:hanging="0"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</w:tbl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cs="Times New Roman"/>
          <w:bCs/>
          <w:color w:val="000000"/>
          <w:sz w:val="28"/>
          <w:szCs w:val="28"/>
        </w:rPr>
        <w:t xml:space="preserve">Сообщения на прямую линию поступали с 27 января по 19 февраля              2026 г. включительно. Жители Северского сельского поселения проявили наибольшую активность (58). Также наибольшее количество вопросов поступило от жителей городских поселений: Афипского (34), Ильского (33), Черноморского (18). </w:t>
      </w:r>
    </w:p>
    <w:p>
      <w:pPr>
        <w:pStyle w:val="Firstlineindent"/>
        <w:spacing w:lineRule="auto" w:line="240"/>
        <w:ind w:hanging="0" w:left="0" w:right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/>
        <w:drawing>
          <wp:inline distT="0" distB="0" distL="0" distR="0">
            <wp:extent cx="5899785" cy="3263900"/>
            <wp:effectExtent l="0" t="0" r="0" b="0"/>
            <wp:docPr id="1" name="Диаграмма 2" descr="диаграмма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"/>
              </a:graphicData>
            </a:graphic>
          </wp:inline>
        </w:drawing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eastAsia="Times New Roman" w:cs="Times New Roman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eastAsia="Times New Roman"/>
        </w:rPr>
        <w:tab/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eastAsia="Times New Roman" w:cs="Times New Roman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eastAsia="Times New Roman"/>
        </w:rPr>
        <w:tab/>
        <w:t xml:space="preserve">Ряд проблем, с которыми столкнулись жители, удалось решить в оперативном порядке. </w:t>
      </w:r>
    </w:p>
    <w:p>
      <w:pPr>
        <w:pStyle w:val="Normal"/>
        <w:ind w:firstLine="708"/>
        <w:jc w:val="both"/>
        <w:rPr>
          <w:b w:val="false"/>
          <w:bCs w:val="false"/>
        </w:rPr>
      </w:pPr>
      <w:r>
        <w:rPr>
          <w:b w:val="false"/>
          <w:bCs w:val="false"/>
          <w:iCs/>
          <w:color w:val="000000"/>
          <w:szCs w:val="28"/>
        </w:rPr>
        <w:t xml:space="preserve"> </w:t>
      </w:r>
      <w:r>
        <w:rPr>
          <w:b w:val="false"/>
          <w:bCs w:val="false"/>
          <w:iCs/>
          <w:color w:val="000000"/>
          <w:szCs w:val="28"/>
        </w:rPr>
        <w:t xml:space="preserve">Вопросы, требующие дополнительного изучения, были приняты в работу, о результатах  рассмотрения жители были проинформированы дополнительно в письменном виде. </w:t>
      </w:r>
    </w:p>
    <w:p>
      <w:pPr>
        <w:pStyle w:val="Normal"/>
        <w:ind w:firstLine="708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ind w:firstLine="708"/>
        <w:jc w:val="center"/>
        <w:rPr>
          <w:rFonts w:eastAsia="Times New Roman" w:cs="Times New Roman"/>
          <w:b w:val="false"/>
          <w:bCs w:val="false"/>
          <w:i w:val="false"/>
          <w:i w:val="false"/>
          <w:iCs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eastAsia="Times New Roman" w:cs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sz w:val="28"/>
          <w:szCs w:val="28"/>
        </w:rPr>
        <w:t>3</w:t>
      </w:r>
    </w:p>
    <w:p>
      <w:pPr>
        <w:pStyle w:val="Normal"/>
        <w:ind w:firstLine="708"/>
        <w:jc w:val="both"/>
        <w:rPr>
          <w:b w:val="false"/>
          <w:bCs w:val="false"/>
        </w:rPr>
      </w:pPr>
      <w:r>
        <w:rPr>
          <w:rFonts w:eastAsia="Times New Roman" w:cs="Times New Roman"/>
          <w:i w:val="false"/>
          <w:caps w:val="false"/>
          <w:smallCaps w:val="false"/>
          <w:spacing w:val="0"/>
          <w:sz w:val="28"/>
        </w:rPr>
        <w:t>Прямая линия главы муниципального образования Северский район продемонстрировала высокую вовлечённость жителей и позволила выявить приоритетные направления для дальнейшей работы администрации. Реализация предложений и решение обозначенных проблем будут способствовать повышению качества жизни в районе и укреплению доверия между властью и населением.</w:t>
      </w:r>
    </w:p>
    <w:p>
      <w:pPr>
        <w:pStyle w:val="Normal"/>
        <w:ind w:firstLine="708"/>
        <w:jc w:val="both"/>
        <w:rPr>
          <w:iCs/>
          <w:szCs w:val="28"/>
        </w:rPr>
      </w:pPr>
      <w:r>
        <w:rPr>
          <w:szCs w:val="28"/>
          <w:lang w:eastAsia="ar-SA"/>
        </w:rPr>
        <w:t xml:space="preserve">В системе «ОНФ.Помощь» поступило 617 сообщений, из них  в настоящее время отработано 408  сообщений  в работе находится 209. </w:t>
      </w:r>
    </w:p>
    <w:p>
      <w:pPr>
        <w:pStyle w:val="Normal"/>
        <w:ind w:firstLine="708"/>
        <w:jc w:val="both"/>
        <w:rPr>
          <w:iCs/>
          <w:color w:val="000000"/>
          <w:szCs w:val="28"/>
        </w:rPr>
      </w:pPr>
      <w:r>
        <w:rPr>
          <w:color w:val="000000"/>
        </w:rPr>
        <w:t>В 1 полугодии 2026 года руководством района на личных приемах принято 153</w:t>
      </w:r>
      <w:r>
        <w:rPr>
          <w:b w:val="false"/>
          <w:bCs w:val="false"/>
          <w:color w:val="000000"/>
        </w:rPr>
        <w:t xml:space="preserve"> человека (за аналогичный период прошлого года 203 человека). </w:t>
      </w:r>
    </w:p>
    <w:p>
      <w:pPr>
        <w:pStyle w:val="Normal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За отчетный период специалистами по работе с обращениями граждан принято 82 человека (за аналогичный период прошлого года 144). </w:t>
      </w:r>
    </w:p>
    <w:p>
      <w:pPr>
        <w:pStyle w:val="211"/>
        <w:spacing w:lineRule="auto" w:line="240"/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Информация о работе с обращениями заслушана на расширенном планерном совещании при участии  руководства администрации района, на котором присутствовали главы городских и сельских поселений, руководители структурных подразделений администрации и служб района, а также прокурор Северского района.   В ходе совещания обращено внимание присутствующих на важность работы с обращениями граждан и предусмотренную законодательством ответственность за нарушение сроков и порядка рассмотрения обращений граждан. </w:t>
      </w:r>
    </w:p>
    <w:p>
      <w:pPr>
        <w:pStyle w:val="Normal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Для оперативного реагирования на обращения жителей, организации взаимодействия служб различных ведомств по предупреждению и устранению аварийных ситуаций в администрации работает единая дежурно-диспетчерская служба по номерам телефонов 112, 051 и 2-54-20. Телефонные звонки принимаются круглосуточно. </w:t>
      </w:r>
    </w:p>
    <w:p>
      <w:pPr>
        <w:pStyle w:val="Normal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Администрацией района и администрациями городских и сельских поселений Северского района постоянно проводится информирование населения о выполненных, проводимых и запланированных мероприятиях, направленных на повышение уровня и качества жизни населения.</w:t>
      </w:r>
    </w:p>
    <w:p>
      <w:pPr>
        <w:pStyle w:val="Normal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Проводится работа по обеспечению эффективного открытого диалога с населением.</w:t>
      </w:r>
    </w:p>
    <w:p>
      <w:pPr>
        <w:pStyle w:val="Normal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«Вконтакте», </w:t>
      </w:r>
      <w:r>
        <w:rPr>
          <w:color w:val="333333"/>
          <w:szCs w:val="28"/>
          <w:shd w:fill="FFFFFF" w:val="clear"/>
        </w:rPr>
        <w:t xml:space="preserve">Teлеграм-канал, Макс </w:t>
      </w:r>
      <w:r>
        <w:rPr>
          <w:color w:val="000000"/>
          <w:szCs w:val="28"/>
        </w:rPr>
        <w:t xml:space="preserve"> действуют официальные аккаунты главы муниципального образования Северский район, позволяющие жителям района оперативно получать информацию о происходящих  событиях, задавать интересующие их вопросы и получать на них ответы. </w:t>
      </w:r>
    </w:p>
    <w:p>
      <w:pPr>
        <w:pStyle w:val="Normal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На сайте регулярно размещается подробная информация и видеосюжеты о мероприятиях, проводимых с участием главы района, справочная информация о режиме работы администрации, графики приема граждан руководством.  </w:t>
        <w:tab/>
      </w:r>
      <w:r>
        <w:rPr>
          <w:bCs/>
          <w:color w:val="000000"/>
        </w:rPr>
        <w:t>Мероприятия по повышению эффективности работы с обращениями граждан будут продолжены.</w:t>
      </w:r>
    </w:p>
    <w:p>
      <w:pPr>
        <w:pStyle w:val="Normal"/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hanging="0"/>
        <w:jc w:val="both"/>
        <w:rPr>
          <w:sz w:val="28"/>
          <w:szCs w:val="28"/>
        </w:rPr>
      </w:pPr>
      <w:r>
        <w:rPr/>
      </w:r>
    </w:p>
    <w:p>
      <w:pPr>
        <w:pStyle w:val="Style51"/>
        <w:tabs>
          <w:tab w:val="clear" w:pos="708"/>
          <w:tab w:val="left" w:pos="684" w:leader="none"/>
        </w:tabs>
        <w:spacing w:lineRule="auto" w:line="240"/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rPr>
          <w:sz w:val="30"/>
          <w:szCs w:val="30"/>
        </w:rPr>
      </w:pPr>
      <w:r>
        <w:rPr/>
      </w:r>
    </w:p>
    <w:sectPr>
      <w:type w:val="nextPage"/>
      <w:pgSz w:w="11906" w:h="16838"/>
      <w:pgMar w:left="1701" w:right="567" w:gutter="0" w:header="0" w:top="765" w:footer="0" w:bottom="1134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Segoe UI">
    <w:charset w:val="01"/>
    <w:family w:val="swiss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Courier New">
    <w:charset w:val="01"/>
    <w:family w:val="roman"/>
    <w:pitch w:val="default"/>
  </w:font>
  <w:font w:name="PT Astra Serif">
    <w:altName w:val="Arial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pPr>
      <w:keepNext w:val="true"/>
      <w:widowControl w:val="false"/>
      <w:shd w:val="clear" w:fill="FFFFFF"/>
      <w:spacing w:lineRule="exact" w:line="302"/>
      <w:ind w:left="1094"/>
      <w:outlineLvl w:val="0"/>
    </w:pPr>
    <w:rPr>
      <w:b/>
      <w:bCs/>
      <w:color w:val="000000"/>
      <w:spacing w:val="-4"/>
      <w:szCs w:val="26"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FF"/>
      <w:u w:val="single"/>
    </w:rPr>
  </w:style>
  <w:style w:type="character" w:styleId="Style13">
    <w:name w:val="Текст выноски Знак"/>
    <w:basedOn w:val="DefaultParagraphFont"/>
    <w:link w:val="BalloonText"/>
    <w:qFormat/>
    <w:rPr>
      <w:rFonts w:ascii="Segoe UI" w:hAnsi="Segoe UI" w:eastAsia="Times New Roman" w:cs="Segoe UI"/>
      <w:sz w:val="18"/>
      <w:szCs w:val="18"/>
      <w:lang w:eastAsia="ru-RU"/>
    </w:rPr>
  </w:style>
  <w:style w:type="character" w:styleId="Style14">
    <w:name w:val="Основной текст Знак"/>
    <w:basedOn w:val="DefaultParagraphFont"/>
    <w:qFormat/>
    <w:rPr>
      <w:rFonts w:ascii="Times New Roman" w:hAnsi="Times New Roman" w:eastAsia="Times New Roman" w:cs="Times New Roman"/>
      <w:b/>
      <w:bCs/>
      <w:caps/>
      <w:sz w:val="28"/>
      <w:szCs w:val="24"/>
      <w:lang w:eastAsia="ru-RU"/>
    </w:r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character" w:styleId="Style15">
    <w:name w:val="Текст примечания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6">
    <w:name w:val="Тема примечания Знак"/>
    <w:basedOn w:val="Style15"/>
    <w:link w:val="annotationsubject"/>
    <w:qFormat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1">
    <w:name w:val="Заголовок 1 Знак"/>
    <w:basedOn w:val="DefaultParagraphFont"/>
    <w:qFormat/>
    <w:rPr>
      <w:rFonts w:ascii="Times New Roman" w:hAnsi="Times New Roman" w:eastAsia="Times New Roman" w:cs="Times New Roman"/>
      <w:b/>
      <w:bCs/>
      <w:color w:val="000000"/>
      <w:spacing w:val="-4"/>
      <w:sz w:val="28"/>
      <w:szCs w:val="26"/>
      <w:shd w:fill="FFFFFF" w:val="clear"/>
      <w:lang w:eastAsia="ru-RU"/>
    </w:rPr>
  </w:style>
  <w:style w:type="character" w:styleId="Style17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Style18">
    <w:name w:val="Нижний колонтитул Знак"/>
    <w:basedOn w:val="DefaultParagraphFont"/>
    <w:qFormat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Style19">
    <w:name w:val="Без интервала Знак"/>
    <w:link w:val="NoSpacing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20">
    <w:name w:val="Основной текст с отступом Знак"/>
    <w:basedOn w:val="DefaultParagraphFont"/>
    <w:qFormat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UnresolvedMention">
    <w:name w:val="Unresolved Mention"/>
    <w:qFormat/>
    <w:rPr>
      <w:color w:val="605E5C"/>
      <w:shd w:fill="E1DFDD" w:val="clear"/>
    </w:rPr>
  </w:style>
  <w:style w:type="character" w:styleId="IntenseReference">
    <w:name w:val="Intense Reference"/>
    <w:qFormat/>
    <w:rPr>
      <w:b/>
      <w:bCs/>
      <w:smallCaps/>
      <w:color w:val="2F5496"/>
      <w:spacing w:val="5"/>
    </w:rPr>
  </w:style>
  <w:style w:type="character" w:styleId="Style21">
    <w:name w:val="Выделенная цитата Знак"/>
    <w:qFormat/>
    <w:rPr>
      <w:i/>
      <w:iCs/>
      <w:color w:val="2F5496"/>
    </w:rPr>
  </w:style>
  <w:style w:type="character" w:styleId="IntenseEmphasis">
    <w:name w:val="Intense Emphasis"/>
    <w:qFormat/>
    <w:rPr>
      <w:i/>
      <w:iCs/>
      <w:color w:val="2F5496"/>
    </w:rPr>
  </w:style>
  <w:style w:type="character" w:styleId="2">
    <w:name w:val="Цитата 2 Знак"/>
    <w:qFormat/>
    <w:rPr>
      <w:i/>
      <w:iCs/>
      <w:color w:val="404040"/>
    </w:rPr>
  </w:style>
  <w:style w:type="character" w:styleId="Style22">
    <w:name w:val="Подзаголовок Знак"/>
    <w:qFormat/>
    <w:rPr>
      <w:rFonts w:eastAsia="0" w:cs="0"/>
      <w:color w:val="595959"/>
      <w:spacing w:val="15"/>
      <w:sz w:val="28"/>
      <w:szCs w:val="28"/>
    </w:rPr>
  </w:style>
  <w:style w:type="character" w:styleId="Style23">
    <w:name w:val="Заголовок Знак"/>
    <w:qFormat/>
    <w:rPr>
      <w:rFonts w:ascii="Calibri Light" w:hAnsi="Calibri Light" w:eastAsia="0" w:cs="0"/>
      <w:spacing w:val="-10"/>
      <w:kern w:val="2"/>
      <w:sz w:val="56"/>
      <w:szCs w:val="56"/>
    </w:rPr>
  </w:style>
  <w:style w:type="character" w:styleId="9">
    <w:name w:val="Заголовок 9 Знак"/>
    <w:qFormat/>
    <w:rPr>
      <w:rFonts w:eastAsia="0" w:cs="0"/>
      <w:color w:val="272727"/>
    </w:rPr>
  </w:style>
  <w:style w:type="character" w:styleId="8">
    <w:name w:val="Заголовок 8 Знак"/>
    <w:qFormat/>
    <w:rPr>
      <w:rFonts w:eastAsia="0" w:cs="0"/>
      <w:i/>
      <w:iCs/>
      <w:color w:val="272727"/>
    </w:rPr>
  </w:style>
  <w:style w:type="character" w:styleId="7">
    <w:name w:val="Заголовок 7 Знак"/>
    <w:qFormat/>
    <w:rPr>
      <w:rFonts w:eastAsia="0" w:cs="0"/>
      <w:color w:val="595959"/>
    </w:rPr>
  </w:style>
  <w:style w:type="character" w:styleId="6">
    <w:name w:val="Заголовок 6 Знак"/>
    <w:qFormat/>
    <w:rPr>
      <w:rFonts w:eastAsia="0" w:cs="0"/>
      <w:i/>
      <w:iCs/>
      <w:color w:val="595959"/>
    </w:rPr>
  </w:style>
  <w:style w:type="character" w:styleId="5">
    <w:name w:val="Заголовок 5 Знак"/>
    <w:qFormat/>
    <w:rPr>
      <w:rFonts w:eastAsia="0" w:cs="0"/>
      <w:color w:val="2F5496"/>
    </w:rPr>
  </w:style>
  <w:style w:type="character" w:styleId="4">
    <w:name w:val="Заголовок 4 Знак"/>
    <w:qFormat/>
    <w:rPr>
      <w:rFonts w:eastAsia="0" w:cs="0"/>
      <w:i/>
      <w:iCs/>
      <w:color w:val="2F5496"/>
    </w:rPr>
  </w:style>
  <w:style w:type="character" w:styleId="3">
    <w:name w:val="Заголовок 3 Знак"/>
    <w:qFormat/>
    <w:rPr>
      <w:rFonts w:eastAsia="0" w:cs="0"/>
      <w:color w:val="2F5496"/>
      <w:sz w:val="28"/>
      <w:szCs w:val="28"/>
    </w:rPr>
  </w:style>
  <w:style w:type="character" w:styleId="21">
    <w:name w:val="Заголовок 2 Знак"/>
    <w:qFormat/>
    <w:rPr>
      <w:rFonts w:ascii="Calibri Light" w:hAnsi="Calibri Light" w:eastAsia="0" w:cs="0"/>
      <w:color w:val="2F5496"/>
      <w:sz w:val="32"/>
      <w:szCs w:val="32"/>
    </w:rPr>
  </w:style>
  <w:style w:type="character" w:styleId="Strong">
    <w:name w:val="Strong"/>
    <w:qFormat/>
    <w:rPr>
      <w:b/>
      <w:bCs/>
    </w:rPr>
  </w:style>
  <w:style w:type="paragraph" w:styleId="Style2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link w:val="Style14"/>
    <w:pPr>
      <w:jc w:val="center"/>
    </w:pPr>
    <w:rPr>
      <w:b/>
      <w:bCs/>
      <w:caps/>
    </w:rPr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BalloonText">
    <w:name w:val="Balloon Text"/>
    <w:basedOn w:val="Normal"/>
    <w:link w:val="Style13"/>
    <w:qFormat/>
    <w:pPr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Style15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6"/>
    <w:qFormat/>
    <w:pPr/>
    <w:rPr>
      <w:b/>
      <w:bCs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8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51">
    <w:name w:val="Style5"/>
    <w:basedOn w:val="Normal"/>
    <w:qFormat/>
    <w:pPr>
      <w:widowControl w:val="false"/>
      <w:spacing w:lineRule="exact" w:line="317"/>
      <w:ind w:hanging="346"/>
    </w:pPr>
    <w:rPr>
      <w:sz w:val="24"/>
    </w:rPr>
  </w:style>
  <w:style w:type="paragraph" w:styleId="NoSpacing">
    <w:name w:val="No Spacing"/>
    <w:link w:val="Style19"/>
    <w:qFormat/>
    <w:pPr>
      <w:widowControl/>
      <w:suppressAutoHyphens w:val="true"/>
      <w:overflowPunct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BodyTextIndent">
    <w:name w:val="Body Text Indent"/>
    <w:basedOn w:val="Normal"/>
    <w:link w:val="Style20"/>
    <w:pPr>
      <w:spacing w:before="0" w:after="120"/>
      <w:ind w:left="283"/>
    </w:pPr>
    <w:rPr/>
  </w:style>
  <w:style w:type="paragraph" w:styleId="211">
    <w:name w:val="Основной текст 21"/>
    <w:basedOn w:val="Normal"/>
    <w:qFormat/>
    <w:pPr>
      <w:overflowPunct w:val="true"/>
      <w:spacing w:lineRule="auto" w:line="360"/>
      <w:ind w:firstLine="851"/>
      <w:jc w:val="both"/>
    </w:pPr>
    <w:rPr>
      <w:rFonts w:ascii="Courier New" w:hAnsi="Courier New"/>
      <w:szCs w:val="20"/>
    </w:rPr>
  </w:style>
  <w:style w:type="paragraph" w:styleId="Style26">
    <w:name w:val="Содержимое врезки"/>
    <w:basedOn w:val="Normal"/>
    <w:qFormat/>
    <w:pPr/>
    <w:rPr/>
  </w:style>
  <w:style w:type="paragraph" w:styleId="user2">
    <w:name w:val="Содержимое врезки (user)"/>
    <w:basedOn w:val="Normal"/>
    <w:qFormat/>
    <w:pPr/>
    <w:rPr/>
  </w:style>
  <w:style w:type="paragraph" w:styleId="Style27">
    <w:name w:val="Содержимое таблицы"/>
    <w:basedOn w:val="Normal"/>
    <w:qFormat/>
    <w:pPr>
      <w:widowControl w:val="false"/>
      <w:suppressLineNumbers/>
    </w:pPr>
    <w:rPr/>
  </w:style>
  <w:style w:type="paragraph" w:styleId="Standard">
    <w:name w:val="Standard"/>
    <w:qFormat/>
    <w:pPr>
      <w:widowControl w:val="false"/>
      <w:suppressAutoHyphens w:val="true"/>
      <w:overflowPunct w:val="true"/>
      <w:bidi w:val="0"/>
      <w:spacing w:before="0" w:after="0"/>
      <w:jc w:val="center"/>
      <w:textAlignment w:val="baseline"/>
    </w:pPr>
    <w:rPr>
      <w:rFonts w:ascii="PT Astra Serif;Arial" w:hAnsi="PT Astra Serif;Arial" w:eastAsia="PT Astra Serif;Arial" w:cs="PT Astra Serif;Arial"/>
      <w:color w:val="auto"/>
      <w:kern w:val="2"/>
      <w:sz w:val="28"/>
      <w:szCs w:val="24"/>
      <w:lang w:val="ru-RU" w:eastAsia="zh-CN" w:bidi="ar-SA"/>
    </w:rPr>
  </w:style>
  <w:style w:type="paragraph" w:styleId="Firstlineindent">
    <w:name w:val="First line indent"/>
    <w:basedOn w:val="Standard"/>
    <w:qFormat/>
    <w:pPr>
      <w:ind w:firstLine="709" w:left="0" w:right="0"/>
      <w:jc w:val="both"/>
    </w:pPr>
    <w:rPr>
      <w:sz w:val="21"/>
    </w:rPr>
  </w:style>
  <w:style w:type="paragraph" w:styleId="Style28">
    <w:name w:val="Заголовок таблицы"/>
    <w:basedOn w:val="Style27"/>
    <w:qFormat/>
    <w:pPr>
      <w:suppressLineNumbers/>
      <w:jc w:val="center"/>
    </w:pPr>
    <w:rPr>
      <w:b/>
      <w:bCs/>
    </w:rPr>
  </w:style>
  <w:style w:type="numbering" w:styleId="Style29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chart" Target="charts/chart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charts/_rels/chart1.xml.rels><?xml version="1.0" encoding="UTF-8"?>
<Relationships xmlns="http://schemas.openxmlformats.org/package/2006/relationships"><Relationship Id="rId1" Type="http://schemas.openxmlformats.org/officeDocument/2006/relationships/package" Target="../embeddings/Microsoft_Excel_Worksheet1.xlsx"/>
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roundedCorners val="0"/>
  <c:chart>
    <c:autoTitleDeleted val="1"/>
    <c:plotArea>
      <c:layout>
        <c:manualLayout>
          <c:layoutTarget val="inner"/>
          <c:xMode val="edge"/>
          <c:yMode val="edge"/>
          <c:x val="0.0115625"/>
          <c:y val="0"/>
          <c:w val="0.9881875"/>
          <c:h val="0.5024444444444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label 0</c:f>
              <c:strCache>
                <c:ptCount val="1"/>
                <c:pt idx="0">
                  <c:v>Телефон </c:v>
                </c:pt>
              </c:strCache>
            </c:strRef>
          </c:tx>
          <c:spPr>
            <a:solidFill>
              <a:srgbClr val="92d050"/>
            </a:solidFill>
            <a:ln w="0">
              <a:solidFill>
                <a:srgbClr val="000000"/>
              </a:solidFill>
            </a:ln>
          </c:spPr>
          <c:invertIfNegative val="0"/>
          <c:dLbls>
            <c:numFmt formatCode="General" sourceLinked="0"/>
            <c:txPr>
              <a:bodyPr wrap="square"/>
              <a:lstStyle/>
              <a:p>
                <a:pPr>
                  <a:defRPr b="0" sz="1200" strike="noStrike" u="none">
                    <a:solidFill>
                      <a:srgbClr val="000000"/>
                    </a:solidFill>
                    <a:uFillTx/>
                    <a:latin typeface="Times New Roman"/>
                    <a:ea typeface="DejaVu San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eparator>; </c:separator>
            <c:showLeaderLines val="1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categories</c:f>
              <c:strCache>
                <c:ptCount val="12"/>
                <c:pt idx="0">
                  <c:v>Афипское гп</c:v>
                </c:pt>
                <c:pt idx="1">
                  <c:v>Азовское сп</c:v>
                </c:pt>
                <c:pt idx="2">
                  <c:v>Григорьевское сп</c:v>
                </c:pt>
                <c:pt idx="3">
                  <c:v>Ильское гп</c:v>
                </c:pt>
                <c:pt idx="4">
                  <c:v>Калужское с</c:v>
                </c:pt>
                <c:pt idx="5">
                  <c:v>Львовское сп</c:v>
                </c:pt>
                <c:pt idx="6">
                  <c:v>Михайловское сп</c:v>
                </c:pt>
                <c:pt idx="7">
                  <c:v>Новодмитриевское сп</c:v>
                </c:pt>
                <c:pt idx="8">
                  <c:v>Северское сп</c:v>
                </c:pt>
                <c:pt idx="9">
                  <c:v>Смоленское сп</c:v>
                </c:pt>
                <c:pt idx="10">
                  <c:v>Черноморское гп</c:v>
                </c:pt>
                <c:pt idx="11">
                  <c:v>Шабановское сп</c:v>
                </c:pt>
              </c:strCache>
            </c:strRef>
          </c:cat>
          <c:val>
            <c:numRef>
              <c:f>0</c:f>
              <c:numCache>
                <c:formatCode>General</c:formatCode>
                <c:ptCount val="12"/>
                <c:pt idx="0">
                  <c:v>26</c:v>
                </c:pt>
                <c:pt idx="1">
                  <c:v>6</c:v>
                </c:pt>
                <c:pt idx="2">
                  <c:v>2</c:v>
                </c:pt>
                <c:pt idx="3">
                  <c:v>27</c:v>
                </c:pt>
                <c:pt idx="4">
                  <c:v>2</c:v>
                </c:pt>
                <c:pt idx="5">
                  <c:v>8</c:v>
                </c:pt>
                <c:pt idx="6">
                  <c:v>0</c:v>
                </c:pt>
                <c:pt idx="7">
                  <c:v>8</c:v>
                </c:pt>
                <c:pt idx="8">
                  <c:v>34</c:v>
                </c:pt>
                <c:pt idx="9">
                  <c:v>3</c:v>
                </c:pt>
                <c:pt idx="10">
                  <c:v>11</c:v>
                </c:pt>
                <c:pt idx="11">
                  <c:v>0</c:v>
                </c:pt>
              </c:numCache>
            </c:numRef>
          </c:val>
        </c:ser>
        <c:ser>
          <c:idx val="1"/>
          <c:order val="1"/>
          <c:tx>
            <c:strRef>
              <c:f>label 1</c:f>
              <c:strCache>
                <c:ptCount val="1"/>
                <c:pt idx="0">
                  <c:v>ИС ПОС</c:v>
                </c:pt>
              </c:strCache>
            </c:strRef>
          </c:tx>
          <c:spPr>
            <a:solidFill>
              <a:srgbClr val="ed7d31"/>
            </a:solidFill>
            <a:ln w="0">
              <a:solidFill>
                <a:srgbClr val="000000"/>
              </a:solidFill>
            </a:ln>
          </c:spPr>
          <c:invertIfNegative val="0"/>
          <c:dLbls>
            <c:numFmt formatCode="General" sourceLinked="0"/>
            <c:txPr>
              <a:bodyPr wrap="square"/>
              <a:lstStyle/>
              <a:p>
                <a:pPr>
                  <a:defRPr b="0" sz="1200" strike="noStrike" u="none">
                    <a:solidFill>
                      <a:srgbClr val="000000"/>
                    </a:solidFill>
                    <a:uFillTx/>
                    <a:latin typeface="Times New Roman"/>
                    <a:ea typeface="DejaVu San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eparator>; </c:separator>
            <c:showLeaderLines val="1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categories</c:f>
              <c:strCache>
                <c:ptCount val="12"/>
                <c:pt idx="0">
                  <c:v>Афипское гп</c:v>
                </c:pt>
                <c:pt idx="1">
                  <c:v>Азовское сп</c:v>
                </c:pt>
                <c:pt idx="2">
                  <c:v>Григорьевское сп</c:v>
                </c:pt>
                <c:pt idx="3">
                  <c:v>Ильское гп</c:v>
                </c:pt>
                <c:pt idx="4">
                  <c:v>Калужское с</c:v>
                </c:pt>
                <c:pt idx="5">
                  <c:v>Львовское сп</c:v>
                </c:pt>
                <c:pt idx="6">
                  <c:v>Михайловское сп</c:v>
                </c:pt>
                <c:pt idx="7">
                  <c:v>Новодмитриевское сп</c:v>
                </c:pt>
                <c:pt idx="8">
                  <c:v>Северское сп</c:v>
                </c:pt>
                <c:pt idx="9">
                  <c:v>Смоленское сп</c:v>
                </c:pt>
                <c:pt idx="10">
                  <c:v>Черноморское гп</c:v>
                </c:pt>
                <c:pt idx="11">
                  <c:v>Шабановское сп</c:v>
                </c:pt>
              </c:strCache>
            </c:strRef>
          </c:cat>
          <c:val>
            <c:numRef>
              <c:f>1</c:f>
              <c:numCache>
                <c:formatCode>General</c:formatCode>
                <c:ptCount val="12"/>
                <c:pt idx="0">
                  <c:v>8</c:v>
                </c:pt>
                <c:pt idx="1">
                  <c:v>1</c:v>
                </c:pt>
                <c:pt idx="2">
                  <c:v>0</c:v>
                </c:pt>
                <c:pt idx="3">
                  <c:v>6</c:v>
                </c:pt>
                <c:pt idx="4">
                  <c:v>0</c:v>
                </c:pt>
                <c:pt idx="5">
                  <c:v>2</c:v>
                </c:pt>
                <c:pt idx="6">
                  <c:v>0</c:v>
                </c:pt>
                <c:pt idx="7">
                  <c:v>0</c:v>
                </c:pt>
                <c:pt idx="8">
                  <c:v>24</c:v>
                </c:pt>
                <c:pt idx="9">
                  <c:v>2</c:v>
                </c:pt>
                <c:pt idx="10">
                  <c:v>7</c:v>
                </c:pt>
                <c:pt idx="11">
                  <c:v>1</c:v>
                </c:pt>
              </c:numCache>
            </c:numRef>
          </c:val>
        </c:ser>
        <c:ser>
          <c:idx val="2"/>
          <c:order val="2"/>
          <c:tx>
            <c:strRef>
              <c:f>label 2</c:f>
              <c:strCache>
                <c:ptCount val="1"/>
                <c:pt idx="0">
                  <c:v>Всего сообщений</c:v>
                </c:pt>
              </c:strCache>
            </c:strRef>
          </c:tx>
          <c:spPr>
            <a:gradFill>
              <a:gsLst>
                <a:gs pos="0">
                  <a:srgbClr val="71a6da"/>
                </a:gs>
                <a:gs pos="50000">
                  <a:srgbClr val="549ada"/>
                </a:gs>
                <a:gs pos="100000">
                  <a:srgbClr val="448ac9"/>
                </a:gs>
              </a:gsLst>
              <a:lin ang="5400000"/>
            </a:gradFill>
            <a:ln w="0">
              <a:solidFill>
                <a:srgbClr val="000000"/>
              </a:solidFill>
            </a:ln>
          </c:spPr>
          <c:invertIfNegative val="0"/>
          <c:dLbls>
            <c:numFmt formatCode="General" sourceLinked="0"/>
            <c:txPr>
              <a:bodyPr wrap="square"/>
              <a:lstStyle/>
              <a:p>
                <a:pPr>
                  <a:defRPr b="0" sz="1200" strike="noStrike" u="none">
                    <a:solidFill>
                      <a:srgbClr val="000000"/>
                    </a:solidFill>
                    <a:uFillTx/>
                    <a:latin typeface="Times New Roman"/>
                    <a:ea typeface="DejaVu San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eparator>; </c:separator>
            <c:showLeaderLines val="1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categories</c:f>
              <c:strCache>
                <c:ptCount val="12"/>
                <c:pt idx="0">
                  <c:v>Афипское гп</c:v>
                </c:pt>
                <c:pt idx="1">
                  <c:v>Азовское сп</c:v>
                </c:pt>
                <c:pt idx="2">
                  <c:v>Григорьевское сп</c:v>
                </c:pt>
                <c:pt idx="3">
                  <c:v>Ильское гп</c:v>
                </c:pt>
                <c:pt idx="4">
                  <c:v>Калужское с</c:v>
                </c:pt>
                <c:pt idx="5">
                  <c:v>Львовское сп</c:v>
                </c:pt>
                <c:pt idx="6">
                  <c:v>Михайловское сп</c:v>
                </c:pt>
                <c:pt idx="7">
                  <c:v>Новодмитриевское сп</c:v>
                </c:pt>
                <c:pt idx="8">
                  <c:v>Северское сп</c:v>
                </c:pt>
                <c:pt idx="9">
                  <c:v>Смоленское сп</c:v>
                </c:pt>
                <c:pt idx="10">
                  <c:v>Черноморское гп</c:v>
                </c:pt>
                <c:pt idx="11">
                  <c:v>Шабановское сп</c:v>
                </c:pt>
              </c:strCache>
            </c:strRef>
          </c:cat>
          <c:val>
            <c:numRef>
              <c:f>2</c:f>
              <c:numCache>
                <c:formatCode>General</c:formatCode>
                <c:ptCount val="12"/>
                <c:pt idx="0">
                  <c:v>34</c:v>
                </c:pt>
                <c:pt idx="1">
                  <c:v>7</c:v>
                </c:pt>
                <c:pt idx="2">
                  <c:v>2</c:v>
                </c:pt>
                <c:pt idx="3">
                  <c:v>33</c:v>
                </c:pt>
                <c:pt idx="4">
                  <c:v>2</c:v>
                </c:pt>
                <c:pt idx="5">
                  <c:v>10</c:v>
                </c:pt>
                <c:pt idx="6">
                  <c:v>0</c:v>
                </c:pt>
                <c:pt idx="7">
                  <c:v>8</c:v>
                </c:pt>
                <c:pt idx="8">
                  <c:v>58</c:v>
                </c:pt>
                <c:pt idx="9">
                  <c:v>5</c:v>
                </c:pt>
                <c:pt idx="10">
                  <c:v>18</c:v>
                </c:pt>
                <c:pt idx="11">
                  <c:v>1</c:v>
                </c:pt>
              </c:numCache>
            </c:numRef>
          </c:val>
        </c:ser>
        <c:gapWidth val="75"/>
        <c:overlap val="0"/>
        <c:axId val="65592621"/>
        <c:axId val="75559155"/>
      </c:barChart>
      <c:catAx>
        <c:axId val="65592621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 w="12600">
            <a:solidFill>
              <a:srgbClr val="d9d9d9"/>
            </a:solidFill>
            <a:round/>
          </a:ln>
        </c:spPr>
        <c:txPr>
          <a:bodyPr rot="-5400000"/>
          <a:lstStyle/>
          <a:p>
            <a:pPr>
              <a:defRPr b="0" sz="1200" strike="noStrike" u="none">
                <a:solidFill>
                  <a:srgbClr val="000000"/>
                </a:solidFill>
                <a:uFillTx/>
                <a:latin typeface="Times New Roman"/>
                <a:ea typeface="DejaVu Sans"/>
              </a:defRPr>
            </a:pPr>
          </a:p>
        </c:txPr>
        <c:crossAx val="75559155"/>
        <c:crosses val="autoZero"/>
        <c:auto val="1"/>
        <c:lblAlgn val="ctr"/>
        <c:lblOffset val="100"/>
        <c:noMultiLvlLbl val="0"/>
      </c:catAx>
      <c:valAx>
        <c:axId val="75559155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spPr>
          <a:ln w="6480">
            <a:solidFill>
              <a:srgbClr val="8b8b8b"/>
            </a:solidFill>
            <a:round/>
          </a:ln>
        </c:spPr>
        <c:txPr>
          <a:bodyPr/>
          <a:lstStyle/>
          <a:p>
            <a:pPr>
              <a:defRPr b="0" sz="1200" strike="noStrike" u="none">
                <a:solidFill>
                  <a:srgbClr val="000000"/>
                </a:solidFill>
                <a:uFillTx/>
                <a:latin typeface="Times New Roman"/>
                <a:ea typeface="DejaVu Sans"/>
              </a:defRPr>
            </a:pPr>
          </a:p>
        </c:txPr>
        <c:crossAx val="65592621"/>
        <c:crossBetween val="between"/>
      </c:valAx>
      <c:spPr>
        <a:noFill/>
        <a:ln w="0">
          <a:solidFill>
            <a:srgbClr val="ffffff"/>
          </a:solidFill>
        </a:ln>
      </c:spPr>
    </c:plotArea>
    <c:legend>
      <c:legendPos val="b"/>
      <c:layout>
        <c:manualLayout>
          <c:xMode val="edge"/>
          <c:yMode val="edge"/>
          <c:x val="0"/>
          <c:y val="0.909"/>
          <c:w val="0.466654165885368"/>
          <c:h val="0.0595621735748417"/>
        </c:manualLayout>
      </c:layout>
      <c:overlay val="0"/>
      <c:spPr>
        <a:noFill/>
        <a:ln w="0">
          <a:noFill/>
        </a:ln>
      </c:spPr>
      <c:txPr>
        <a:bodyPr/>
        <a:lstStyle/>
        <a:p>
          <a:pPr>
            <a:defRPr b="0" sz="1200" strike="noStrike" u="none">
              <a:solidFill>
                <a:srgbClr val="000000"/>
              </a:solidFill>
              <a:uFillTx/>
              <a:latin typeface="Times New Roman"/>
              <a:ea typeface="DejaVu Sans"/>
            </a:defRPr>
          </a:pPr>
        </a:p>
      </c:txPr>
    </c:legend>
    <c:plotVisOnly val="1"/>
    <c:dispBlanksAs val="gap"/>
  </c:chart>
  <c:spPr>
    <a:solidFill>
      <a:srgbClr val="ffffff"/>
    </a:solidFill>
    <a:ln w="9360">
      <a:noFill/>
    </a:ln>
  </c:spPr>
  <c:externalData r:id="rId1"/>
</c:chartSpace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Application>LibreOffice/25.2.3.2$Linux_X86_64 LibreOffice_project/520$Build-2</Application>
  <AppVersion>15.0000</AppVersion>
  <Pages>5</Pages>
  <Words>747</Words>
  <Characters>4967</Characters>
  <CharactersWithSpaces>5766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Татьяна Валерьевна</dc:creator>
  <dc:description/>
  <dc:language>ru-RU</dc:language>
  <cp:lastModifiedBy/>
  <cp:lastPrinted>2026-07-21T09:25:59Z</cp:lastPrinted>
  <dcterms:modified xsi:type="dcterms:W3CDTF">2026-07-21T09:36:35Z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0x01010087EADF07AD177344B261F759F980E14F</vt:lpwstr>
  </property>
</Properties>
</file>